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09939466">
                <wp:simplePos x="0" y="0"/>
                <wp:positionH relativeFrom="page">
                  <wp:posOffset>838200</wp:posOffset>
                </wp:positionH>
                <wp:positionV relativeFrom="paragraph">
                  <wp:posOffset>169545</wp:posOffset>
                </wp:positionV>
                <wp:extent cx="6088380" cy="2200275"/>
                <wp:effectExtent l="0" t="0" r="26670"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200275"/>
                        </a:xfrm>
                        <a:prstGeom prst="rect">
                          <a:avLst/>
                        </a:prstGeom>
                        <a:ln w="6096">
                          <a:solidFill>
                            <a:srgbClr val="000000"/>
                          </a:solidFill>
                          <a:prstDash val="solid"/>
                        </a:ln>
                      </wps:spPr>
                      <wps:txbx>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573E584F" w14:textId="19090E6D" w:rsidR="00B97561" w:rsidRPr="00423C7F" w:rsidRDefault="00753954">
                            <w:pPr>
                              <w:pStyle w:val="BodyText"/>
                              <w:ind w:left="109"/>
                              <w:rPr>
                                <w:rFonts w:ascii="Times New Roman" w:hAnsi="Times New Roman" w:cs="Times New Roman"/>
                              </w:rPr>
                            </w:pPr>
                            <w:r w:rsidRPr="00423C7F">
                              <w:rPr>
                                <w:rFonts w:ascii="Times New Roman" w:hAnsi="Times New Roman" w:cs="Times New Roman"/>
                              </w:rPr>
                              <w:t>ORDINANCE</w:t>
                            </w:r>
                            <w:r w:rsidRPr="00423C7F">
                              <w:rPr>
                                <w:rFonts w:ascii="Times New Roman" w:hAnsi="Times New Roman" w:cs="Times New Roman"/>
                                <w:spacing w:val="-8"/>
                              </w:rPr>
                              <w:t xml:space="preserve"> </w:t>
                            </w:r>
                            <w:r w:rsidRPr="00423C7F">
                              <w:rPr>
                                <w:rFonts w:ascii="Times New Roman" w:hAnsi="Times New Roman" w:cs="Times New Roman"/>
                              </w:rPr>
                              <w:t>NO.</w:t>
                            </w:r>
                            <w:r w:rsidRPr="00423C7F">
                              <w:rPr>
                                <w:rFonts w:ascii="Times New Roman" w:hAnsi="Times New Roman" w:cs="Times New Roman"/>
                                <w:spacing w:val="-6"/>
                              </w:rPr>
                              <w:t xml:space="preserve"> </w:t>
                            </w:r>
                            <w:r w:rsidRPr="00423C7F">
                              <w:rPr>
                                <w:rFonts w:ascii="Times New Roman" w:hAnsi="Times New Roman" w:cs="Times New Roman"/>
                              </w:rPr>
                              <w:t>202</w:t>
                            </w:r>
                            <w:r w:rsidR="005C3C94" w:rsidRPr="00423C7F">
                              <w:rPr>
                                <w:rFonts w:ascii="Times New Roman" w:hAnsi="Times New Roman" w:cs="Times New Roman"/>
                              </w:rPr>
                              <w:t>4-</w:t>
                            </w:r>
                            <w:r w:rsidR="00E64F44" w:rsidRPr="00423C7F">
                              <w:rPr>
                                <w:rFonts w:ascii="Times New Roman" w:hAnsi="Times New Roman" w:cs="Times New Roman"/>
                              </w:rPr>
                              <w:t>2</w:t>
                            </w:r>
                            <w:r w:rsidR="006F2F0E" w:rsidRPr="00423C7F">
                              <w:rPr>
                                <w:rFonts w:ascii="Times New Roman" w:hAnsi="Times New Roman" w:cs="Times New Roman"/>
                              </w:rPr>
                              <w:t>3</w:t>
                            </w:r>
                          </w:p>
                          <w:p w14:paraId="12C49E78" w14:textId="41B6A3DD" w:rsidR="00B97561" w:rsidRPr="005C3C94" w:rsidRDefault="006F2F0E" w:rsidP="00423C7F">
                            <w:pPr>
                              <w:pStyle w:val="Pa3"/>
                              <w:spacing w:after="180"/>
                              <w:jc w:val="both"/>
                              <w:rPr>
                                <w:sz w:val="22"/>
                                <w:szCs w:val="22"/>
                              </w:rPr>
                            </w:pPr>
                            <w:r w:rsidRPr="00423C7F">
                              <w:rPr>
                                <w:rFonts w:eastAsia="Times New Roman"/>
                                <w14:ligatures w14:val="none"/>
                              </w:rPr>
                              <w:t xml:space="preserve">AN ORDINANCE OF THE CITY OF NEWBERRY, FLORIDA, RELATING TO THE AMENDMENT OF THE OFFICIAL ZONING ATLAS FOR THE REZONING OF 9.85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RECENTLY ANNEXED THERETO; TAX PARCEL NUMBER </w:t>
                            </w:r>
                            <w:r w:rsidRPr="00423C7F">
                              <w:t>04442-000-000</w:t>
                            </w:r>
                            <w:r w:rsidRPr="00423C7F">
                              <w:rPr>
                                <w:rFonts w:eastAsia="Times New Roman"/>
                                <w14:ligatures w14:val="none"/>
                              </w:rPr>
                              <w:t>; PROVIDING SEVERABILITY; REPEALING ALL ORDINANCES IN CONFLICT; AND PROVIDING AN EFFECTIVE DATE.</w:t>
                            </w:r>
                          </w:p>
                        </w:txbxContent>
                      </wps:txbx>
                      <wps:bodyPr wrap="square" lIns="0" tIns="0" rIns="0" bIns="0" rtlCol="0">
                        <a:noAutofit/>
                      </wps:bodyPr>
                    </wps:wsp>
                  </a:graphicData>
                </a:graphic>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pt;margin-top:13.35pt;width:479.4pt;height:173.2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" filled="f" strokeweight=".48pt">
                <v:path arrowok="t"/>
                <v:textbox inset="0,0,0,0">
                  <w:txbxContent>
                    <w:p w14:paraId="512017D0" w14:textId="77777777" w:rsidR="00B97561" w:rsidRDefault="00753954">
                      <w:pPr>
                        <w:pStyle w:val="BodyText"/>
                        <w:spacing w:before="19"/>
                        <w:ind w:left="109"/>
                      </w:pPr>
                      <w:r>
                        <w:t>Proposed</w:t>
                      </w:r>
                      <w:r>
                        <w:rPr>
                          <w:spacing w:val="-8"/>
                        </w:rPr>
                        <w:t xml:space="preserve"> </w:t>
                      </w:r>
                      <w:r>
                        <w:t>ordinance’s</w:t>
                      </w:r>
                      <w:r>
                        <w:rPr>
                          <w:spacing w:val="-8"/>
                        </w:rPr>
                        <w:t xml:space="preserve"> </w:t>
                      </w:r>
                      <w:r>
                        <w:rPr>
                          <w:spacing w:val="-2"/>
                        </w:rPr>
                        <w:t>title/reference:</w:t>
                      </w:r>
                    </w:p>
                    <w:p w14:paraId="573E584F" w14:textId="19090E6D" w:rsidR="00B97561" w:rsidRPr="00423C7F" w:rsidRDefault="00753954">
                      <w:pPr>
                        <w:pStyle w:val="BodyText"/>
                        <w:ind w:left="109"/>
                        <w:rPr>
                          <w:rFonts w:ascii="Times New Roman" w:hAnsi="Times New Roman" w:cs="Times New Roman"/>
                        </w:rPr>
                      </w:pPr>
                      <w:r w:rsidRPr="00423C7F">
                        <w:rPr>
                          <w:rFonts w:ascii="Times New Roman" w:hAnsi="Times New Roman" w:cs="Times New Roman"/>
                        </w:rPr>
                        <w:t>ORDINANCE</w:t>
                      </w:r>
                      <w:r w:rsidRPr="00423C7F">
                        <w:rPr>
                          <w:rFonts w:ascii="Times New Roman" w:hAnsi="Times New Roman" w:cs="Times New Roman"/>
                          <w:spacing w:val="-8"/>
                        </w:rPr>
                        <w:t xml:space="preserve"> </w:t>
                      </w:r>
                      <w:r w:rsidRPr="00423C7F">
                        <w:rPr>
                          <w:rFonts w:ascii="Times New Roman" w:hAnsi="Times New Roman" w:cs="Times New Roman"/>
                        </w:rPr>
                        <w:t>NO.</w:t>
                      </w:r>
                      <w:r w:rsidRPr="00423C7F">
                        <w:rPr>
                          <w:rFonts w:ascii="Times New Roman" w:hAnsi="Times New Roman" w:cs="Times New Roman"/>
                          <w:spacing w:val="-6"/>
                        </w:rPr>
                        <w:t xml:space="preserve"> </w:t>
                      </w:r>
                      <w:r w:rsidRPr="00423C7F">
                        <w:rPr>
                          <w:rFonts w:ascii="Times New Roman" w:hAnsi="Times New Roman" w:cs="Times New Roman"/>
                        </w:rPr>
                        <w:t>202</w:t>
                      </w:r>
                      <w:r w:rsidR="005C3C94" w:rsidRPr="00423C7F">
                        <w:rPr>
                          <w:rFonts w:ascii="Times New Roman" w:hAnsi="Times New Roman" w:cs="Times New Roman"/>
                        </w:rPr>
                        <w:t>4-</w:t>
                      </w:r>
                      <w:r w:rsidR="00E64F44" w:rsidRPr="00423C7F">
                        <w:rPr>
                          <w:rFonts w:ascii="Times New Roman" w:hAnsi="Times New Roman" w:cs="Times New Roman"/>
                        </w:rPr>
                        <w:t>2</w:t>
                      </w:r>
                      <w:r w:rsidR="006F2F0E" w:rsidRPr="00423C7F">
                        <w:rPr>
                          <w:rFonts w:ascii="Times New Roman" w:hAnsi="Times New Roman" w:cs="Times New Roman"/>
                        </w:rPr>
                        <w:t>3</w:t>
                      </w:r>
                    </w:p>
                    <w:p w14:paraId="12C49E78" w14:textId="41B6A3DD" w:rsidR="00B97561" w:rsidRPr="005C3C94" w:rsidRDefault="006F2F0E" w:rsidP="00423C7F">
                      <w:pPr>
                        <w:pStyle w:val="Pa3"/>
                        <w:spacing w:after="180"/>
                        <w:jc w:val="both"/>
                        <w:rPr>
                          <w:sz w:val="22"/>
                          <w:szCs w:val="22"/>
                        </w:rPr>
                      </w:pPr>
                      <w:r w:rsidRPr="00423C7F">
                        <w:rPr>
                          <w:rFonts w:eastAsia="Times New Roman"/>
                          <w14:ligatures w14:val="none"/>
                        </w:rPr>
                        <w:t xml:space="preserve">AN ORDINANCE OF THE CITY OF NEWBERRY, FLORIDA, RELATING TO THE AMENDMENT OF THE OFFICIAL ZONING ATLAS FOR THE REZONING OF 9.85 ACRES, MORE OR LESS, PURSUANT TO AN APPLICATION AMENDING THE OFFICIAL ZONING ATLAS OF THE CITY OF NEWBERRY LAND DEVELOPMENT REGULATIONS; PROVIDING FOR REZONING FROM ALACHUA COUNTY AGRICULTURAL (A) ZONING DISTRICT TO CITY OF NEWBERRY AGRICULTURAL (A) ZONING DISTRICT ON CERTAIN LANDS WITHIN THE CORPORATE LIMITS OF THE CITY OF NEWBERRY, FLORIDA WHICH HAVE BEEN RECENTLY ANNEXED THERETO; TAX PARCEL NUMBER </w:t>
                      </w:r>
                      <w:r w:rsidRPr="00423C7F">
                        <w:t>04442-000-000</w:t>
                      </w:r>
                      <w:r w:rsidRPr="00423C7F">
                        <w:rPr>
                          <w:rFonts w:eastAsia="Times New Roman"/>
                          <w14:ligatures w14:val="none"/>
                        </w:rPr>
                        <w:t>; PROVIDING SEVERABILITY; REPEALING ALL ORDINANCES IN CONFLICT; AND PROVIDING AN EFFECTIVE DATE.</w:t>
                      </w: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r>
        <w:t>City</w:t>
      </w:r>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 xml:space="preserve">The proposed ordinance relates to the adoption of budgets or budget amendments, including revenue sources necessary to fund the </w:t>
      </w:r>
      <w:proofErr w:type="gramStart"/>
      <w:r>
        <w:rPr>
          <w:sz w:val="24"/>
        </w:rPr>
        <w:t>budget;</w:t>
      </w:r>
      <w:proofErr w:type="gramEnd"/>
    </w:p>
    <w:p w14:paraId="197DC170" w14:textId="77777777" w:rsidR="00B97561" w:rsidRDefault="00753954">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jc w:val="both"/>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65D19FE4" w14:textId="77777777" w:rsidR="00753954" w:rsidRDefault="00753954" w:rsidP="00753954">
      <w:pPr>
        <w:pStyle w:val="ListParagraph"/>
        <w:numPr>
          <w:ilvl w:val="0"/>
          <w:numId w:val="1"/>
        </w:numPr>
        <w:tabs>
          <w:tab w:val="left" w:pos="1377"/>
          <w:tab w:val="left" w:pos="1389"/>
        </w:tabs>
        <w:ind w:left="1389" w:right="218" w:hanging="450"/>
        <w:jc w:val="both"/>
        <w:rPr>
          <w:sz w:val="24"/>
        </w:rPr>
      </w:pPr>
      <w:r>
        <w:rPr>
          <w:sz w:val="24"/>
        </w:rPr>
        <w:t xml:space="preserve">Sections 190.005 and 190.046, Florida Statutes, regarding community development </w:t>
      </w:r>
      <w:proofErr w:type="gramStart"/>
      <w:r>
        <w:rPr>
          <w:sz w:val="24"/>
        </w:rPr>
        <w:t>districts;</w:t>
      </w:r>
      <w:proofErr w:type="gramEnd"/>
    </w:p>
    <w:p w14:paraId="35EFD6F4" w14:textId="77777777" w:rsidR="00753954" w:rsidRDefault="00753954" w:rsidP="00753954">
      <w:pPr>
        <w:pStyle w:val="ListParagraph"/>
        <w:numPr>
          <w:ilvl w:val="0"/>
          <w:numId w:val="1"/>
        </w:numPr>
        <w:tabs>
          <w:tab w:val="left" w:pos="1365"/>
        </w:tabs>
        <w:ind w:left="1365" w:hanging="426"/>
        <w:jc w:val="both"/>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jc w:val="both"/>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56DB7753" w14:textId="77777777" w:rsidR="00753954" w:rsidRDefault="00753954" w:rsidP="00753954">
      <w:pPr>
        <w:pStyle w:val="BodyText"/>
        <w:ind w:left="219"/>
      </w:pPr>
    </w:p>
    <w:p w14:paraId="08D9ED1F" w14:textId="3D77BD94" w:rsidR="00B97561" w:rsidRDefault="00753954" w:rsidP="00753954">
      <w:pPr>
        <w:pStyle w:val="BodyText"/>
        <w:spacing w:before="6"/>
        <w:rPr>
          <w:rFonts w:ascii="Calibri"/>
          <w:b/>
          <w:sz w:val="20"/>
        </w:rPr>
      </w:pPr>
      <w:r>
        <w:rPr>
          <w:noProof/>
        </w:rPr>
        <mc:AlternateContent>
          <mc:Choice Requires="wps">
            <w:drawing>
              <wp:anchor distT="0" distB="0" distL="0" distR="0" simplePos="0" relativeHeight="487588352" behindDoc="1" locked="0" layoutInCell="1" allowOverlap="1" wp14:anchorId="496CA713" wp14:editId="685257AC">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168D1E"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p w14:paraId="40527286" w14:textId="77777777" w:rsidR="00B97561" w:rsidRDefault="00B97561" w:rsidP="00753954">
      <w:pPr>
        <w:tabs>
          <w:tab w:val="left" w:pos="1377"/>
          <w:tab w:val="left" w:pos="1389"/>
        </w:tabs>
        <w:spacing w:before="80"/>
        <w:ind w:right="217"/>
      </w:pPr>
    </w:p>
    <w:sectPr w:rsidR="00B97561"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182B4D"/>
    <w:rsid w:val="00423C7F"/>
    <w:rsid w:val="005730AE"/>
    <w:rsid w:val="005C3C94"/>
    <w:rsid w:val="00665B7C"/>
    <w:rsid w:val="006F2F0E"/>
    <w:rsid w:val="00753954"/>
    <w:rsid w:val="00B97561"/>
    <w:rsid w:val="00D967BC"/>
    <w:rsid w:val="00E64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 w:type="paragraph" w:customStyle="1" w:styleId="Pa3">
    <w:name w:val="Pa3"/>
    <w:basedOn w:val="Normal"/>
    <w:next w:val="Normal"/>
    <w:uiPriority w:val="99"/>
    <w:rsid w:val="006F2F0E"/>
    <w:pPr>
      <w:widowControl/>
      <w:adjustRightInd w:val="0"/>
      <w:spacing w:line="201" w:lineRule="atLeast"/>
    </w:pPr>
    <w:rPr>
      <w:rFonts w:ascii="Times New Roman" w:eastAsiaTheme="minorHAnsi"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7</cp:revision>
  <dcterms:created xsi:type="dcterms:W3CDTF">2023-11-27T19:39:00Z</dcterms:created>
  <dcterms:modified xsi:type="dcterms:W3CDTF">2024-09-11T19:38:00Z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